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воспитанницу подготовительной группы</w:t>
      </w:r>
    </w:p>
    <w:p>
      <w:pPr>
        <w:jc w:val="center"/>
      </w:pPr>
      <w:r>
        <w:rPr>
          <w:b w:val="0"/>
        </w:rPr>
        <w:t>МБДОУ «Детский сад № 56»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— воспитанница подготовительной группы МБДОУ «Детский сад № 56» с 2016 года.</w:t>
      </w:r>
    </w:p>
    <w:p>
      <w:pPr>
        <w:ind w:firstLine="709"/>
        <w:jc w:val="both"/>
      </w:pPr>
      <w:r>
        <w:t>Болеет несколько раз в год; к концу дня заметна утомляемость. Играет с детьми, но чаще выбирает знакомые игры и небольшой круг друзей. Навыки самообслуживания сформированы частично, иногда нуждается в помощи взрослого.</w:t>
      </w:r>
    </w:p>
    <w:p>
      <w:pPr>
        <w:ind w:firstLine="709"/>
        <w:jc w:val="both"/>
      </w:pPr>
      <w:r>
        <w:t>На занятиях работает, но быстро отвлекается; нуждается в повторении инструкции. Словарный запас ограничен, в связной речи бывают затруднения; звукопроизношение в целом сформировано. Мелкая моторика развита недостаточно: карандаш держит неуверенно, штриховка и вырезание даются с трудом.</w:t>
      </w:r>
    </w:p>
    <w:p>
      <w:pPr>
        <w:ind w:firstLine="709"/>
        <w:jc w:val="both"/>
      </w:pPr>
      <w:r>
        <w:t>Представления об окружающем мире в целом сформированы, но недостаточно систематизированы. Внимание и память развиты по возрасту; при утомлении отвлекается, инструкцию нужно повторить. Эмоциональные реакции соответствуют ситуации, хотя при утомлении Анна быстро раздражается.</w:t>
      </w:r>
    </w:p>
    <w:p>
      <w:pPr>
        <w:ind w:firstLine="709"/>
        <w:jc w:val="both"/>
      </w:pPr>
      <w:r>
        <w:t>Трудности проявляются на занятиях по развитию речи и математике: требуется больше времени и показ образца. Родители поддерживают связь с детским садом, но рекомендации специалистов выполняют не всегда. По характеру Анна творческая и невнимательна.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ПМПК на дошкольника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